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2"/>
          <w:szCs w:val="32"/>
        </w:rPr>
      </w:pPr>
      <w:r>
        <w:rPr>
          <w:rFonts w:hint="eastAsia"/>
          <w:b/>
          <w:bCs/>
          <w:sz w:val="32"/>
          <w:szCs w:val="32"/>
        </w:rPr>
        <w:t>2020级铜陵学院成人高等教育入学新生</w:t>
      </w:r>
    </w:p>
    <w:p>
      <w:pPr>
        <w:ind w:firstLine="3632" w:firstLineChars="1206"/>
        <w:rPr>
          <w:rFonts w:ascii="黑体" w:eastAsia="黑体"/>
          <w:b/>
          <w:bCs/>
          <w:sz w:val="30"/>
        </w:rPr>
      </w:pPr>
      <w:r>
        <w:rPr>
          <w:rFonts w:hint="eastAsia" w:ascii="黑体" w:eastAsia="黑体"/>
          <w:b/>
          <w:bCs/>
          <w:sz w:val="30"/>
        </w:rPr>
        <w:t>报 到 须 知</w:t>
      </w:r>
    </w:p>
    <w:p>
      <w:pPr>
        <w:spacing w:line="520" w:lineRule="exact"/>
        <w:ind w:firstLine="480" w:firstLineChars="200"/>
        <w:rPr>
          <w:rFonts w:ascii="宋体" w:hAnsi="宋体"/>
          <w:sz w:val="24"/>
        </w:rPr>
      </w:pPr>
    </w:p>
    <w:p>
      <w:pPr>
        <w:spacing w:line="520" w:lineRule="exact"/>
        <w:ind w:firstLine="480" w:firstLineChars="200"/>
        <w:rPr>
          <w:rFonts w:ascii="宋体" w:hAnsi="宋体"/>
          <w:sz w:val="24"/>
        </w:rPr>
      </w:pPr>
      <w:r>
        <w:rPr>
          <w:rFonts w:hint="eastAsia" w:ascii="宋体" w:hAnsi="宋体"/>
          <w:sz w:val="24"/>
        </w:rPr>
        <w:t>根据铜陵学院继续教育学院的实际情况，现将我院</w:t>
      </w:r>
      <w:r>
        <w:rPr>
          <w:rFonts w:ascii="宋体" w:hAnsi="宋体"/>
          <w:sz w:val="24"/>
        </w:rPr>
        <w:t>20</w:t>
      </w:r>
      <w:r>
        <w:rPr>
          <w:rFonts w:hint="eastAsia" w:ascii="宋体" w:hAnsi="宋体"/>
          <w:sz w:val="24"/>
        </w:rPr>
        <w:t>20级成人高等教育入学新生报到的有关事项通知如下：</w:t>
      </w:r>
    </w:p>
    <w:p>
      <w:pPr>
        <w:spacing w:line="520" w:lineRule="exact"/>
        <w:ind w:firstLine="482" w:firstLineChars="200"/>
        <w:rPr>
          <w:rFonts w:ascii="宋体" w:hAnsi="宋体"/>
          <w:b/>
          <w:sz w:val="24"/>
        </w:rPr>
      </w:pPr>
      <w:r>
        <w:rPr>
          <w:rFonts w:hint="eastAsia" w:ascii="宋体" w:hAnsi="宋体"/>
          <w:b/>
          <w:sz w:val="24"/>
        </w:rPr>
        <w:t>一、铜陵学院</w:t>
      </w:r>
      <w:r>
        <w:rPr>
          <w:rFonts w:hint="eastAsia" w:ascii="宋体" w:hAnsi="宋体"/>
          <w:b/>
          <w:sz w:val="24"/>
          <w:lang w:eastAsia="zh-CN"/>
        </w:rPr>
        <w:t>成人高等教育</w:t>
      </w:r>
      <w:r>
        <w:rPr>
          <w:rFonts w:hint="eastAsia" w:ascii="宋体" w:hAnsi="宋体"/>
          <w:b/>
          <w:sz w:val="24"/>
        </w:rPr>
        <w:t>学生报到须知：</w:t>
      </w:r>
    </w:p>
    <w:p>
      <w:pPr>
        <w:spacing w:line="520" w:lineRule="exact"/>
        <w:ind w:firstLine="472" w:firstLineChars="196"/>
        <w:rPr>
          <w:rFonts w:ascii="宋体" w:hAnsi="宋体"/>
          <w:sz w:val="24"/>
        </w:rPr>
      </w:pPr>
      <w:r>
        <w:rPr>
          <w:rFonts w:hint="eastAsia" w:ascii="宋体" w:hAnsi="宋体"/>
          <w:b/>
          <w:sz w:val="24"/>
        </w:rPr>
        <w:t>1、缴费：</w:t>
      </w:r>
      <w:r>
        <w:rPr>
          <w:rFonts w:hint="eastAsia" w:ascii="宋体" w:hAnsi="宋体"/>
          <w:spacing w:val="-20"/>
          <w:sz w:val="24"/>
        </w:rPr>
        <w:t>（</w:t>
      </w:r>
      <w:r>
        <w:rPr>
          <w:rFonts w:hint="eastAsia" w:ascii="宋体" w:hAnsi="宋体"/>
          <w:sz w:val="24"/>
        </w:rPr>
        <w:t>依据省物价局、财政厅皖价行费</w:t>
      </w:r>
      <w:r>
        <w:rPr>
          <w:rFonts w:ascii="宋体" w:hAnsi="宋体"/>
          <w:sz w:val="24"/>
        </w:rPr>
        <w:t>[2000]311</w:t>
      </w:r>
      <w:r>
        <w:rPr>
          <w:rFonts w:hint="eastAsia" w:ascii="宋体" w:hAnsi="宋体"/>
          <w:sz w:val="24"/>
        </w:rPr>
        <w:t>号文件及有关文件制定）</w:t>
      </w:r>
    </w:p>
    <w:p>
      <w:pPr>
        <w:spacing w:line="520" w:lineRule="exact"/>
        <w:ind w:firstLine="472" w:firstLineChars="196"/>
        <w:rPr>
          <w:rFonts w:hint="eastAsia" w:ascii="宋体" w:hAnsi="宋体"/>
          <w:sz w:val="24"/>
        </w:rPr>
      </w:pPr>
      <w:r>
        <w:rPr>
          <w:rFonts w:hint="eastAsia" w:ascii="宋体" w:hAnsi="宋体"/>
          <w:b/>
          <w:sz w:val="24"/>
        </w:rPr>
        <w:t>缴费方式：</w:t>
      </w:r>
      <w:r>
        <w:rPr>
          <w:rFonts w:hint="eastAsia" w:ascii="宋体" w:hAnsi="宋体"/>
          <w:sz w:val="24"/>
        </w:rPr>
        <w:t>2020级新生全部进行</w:t>
      </w:r>
      <w:r>
        <w:rPr>
          <w:rFonts w:ascii="宋体" w:hAnsi="宋体"/>
          <w:sz w:val="24"/>
        </w:rPr>
        <w:t>网上自助缴纳学费</w:t>
      </w:r>
      <w:r>
        <w:rPr>
          <w:rFonts w:hint="eastAsia" w:ascii="宋体" w:hAnsi="宋体"/>
          <w:sz w:val="24"/>
        </w:rPr>
        <w:t>（仅支持PC端），缴费</w:t>
      </w:r>
      <w:r>
        <w:rPr>
          <w:rFonts w:ascii="宋体" w:hAnsi="宋体"/>
          <w:sz w:val="24"/>
        </w:rPr>
        <w:t>网址</w:t>
      </w:r>
      <w:r>
        <w:rPr>
          <w:rFonts w:hint="eastAsia" w:ascii="宋体" w:hAnsi="宋体"/>
          <w:sz w:val="24"/>
          <w:lang w:eastAsia="zh-CN"/>
        </w:rPr>
        <w:t>：</w:t>
      </w:r>
      <w:r>
        <w:rPr>
          <w:rFonts w:ascii="宋体" w:hAnsi="宋体"/>
          <w:sz w:val="24"/>
        </w:rPr>
        <w:t>http://211.86.208.54:8088/wsjf/login</w:t>
      </w:r>
      <w:r>
        <w:rPr>
          <w:rFonts w:hint="eastAsia" w:ascii="宋体" w:hAnsi="宋体"/>
          <w:sz w:val="24"/>
        </w:rPr>
        <w:t>，</w:t>
      </w:r>
      <w:r>
        <w:rPr>
          <w:rFonts w:ascii="宋体" w:hAnsi="宋体"/>
          <w:sz w:val="24"/>
        </w:rPr>
        <w:t>使用前请详细阅读使用说明（用户代码为身份证号码，密码为身份证后六位）。</w:t>
      </w:r>
    </w:p>
    <w:p>
      <w:pPr>
        <w:spacing w:line="520" w:lineRule="exact"/>
        <w:ind w:firstLine="482" w:firstLineChars="200"/>
        <w:rPr>
          <w:rFonts w:hint="eastAsia" w:ascii="宋体" w:hAnsi="宋体"/>
          <w:b/>
          <w:sz w:val="24"/>
        </w:rPr>
      </w:pPr>
      <w:r>
        <w:rPr>
          <w:rFonts w:hint="eastAsia" w:ascii="宋体" w:hAnsi="宋体"/>
          <w:b/>
          <w:sz w:val="24"/>
        </w:rPr>
        <w:t>缴费时间：</w:t>
      </w:r>
      <w:r>
        <w:rPr>
          <w:rFonts w:ascii="宋体" w:hAnsi="宋体"/>
          <w:b/>
          <w:bCs/>
          <w:sz w:val="28"/>
          <w:szCs w:val="28"/>
        </w:rPr>
        <w:t>20</w:t>
      </w:r>
      <w:r>
        <w:rPr>
          <w:rFonts w:hint="eastAsia" w:ascii="宋体" w:hAnsi="宋体"/>
          <w:b/>
          <w:bCs/>
          <w:sz w:val="28"/>
          <w:szCs w:val="28"/>
          <w:lang w:val="en-US" w:eastAsia="zh-CN"/>
        </w:rPr>
        <w:t>20</w:t>
      </w:r>
      <w:r>
        <w:rPr>
          <w:rFonts w:hint="eastAsia" w:ascii="宋体" w:hAnsi="宋体"/>
          <w:b/>
          <w:bCs/>
          <w:sz w:val="28"/>
          <w:szCs w:val="28"/>
        </w:rPr>
        <w:t>年</w:t>
      </w:r>
      <w:r>
        <w:rPr>
          <w:rFonts w:hint="eastAsia" w:ascii="宋体" w:hAnsi="宋体"/>
          <w:b/>
          <w:bCs/>
          <w:sz w:val="28"/>
          <w:szCs w:val="28"/>
          <w:lang w:val="en-US" w:eastAsia="zh-CN"/>
        </w:rPr>
        <w:t>1</w:t>
      </w:r>
      <w:r>
        <w:rPr>
          <w:rFonts w:hint="eastAsia" w:ascii="宋体" w:hAnsi="宋体"/>
          <w:b/>
          <w:bCs/>
          <w:sz w:val="28"/>
          <w:szCs w:val="28"/>
        </w:rPr>
        <w:t>月</w:t>
      </w:r>
      <w:r>
        <w:rPr>
          <w:rFonts w:hint="eastAsia" w:ascii="宋体" w:hAnsi="宋体"/>
          <w:b/>
          <w:bCs/>
          <w:sz w:val="28"/>
          <w:szCs w:val="28"/>
          <w:lang w:val="en-US" w:eastAsia="zh-CN"/>
        </w:rPr>
        <w:t>10日-----</w:t>
      </w:r>
      <w:r>
        <w:rPr>
          <w:rFonts w:ascii="宋体" w:hAnsi="宋体"/>
          <w:b/>
          <w:bCs/>
          <w:sz w:val="28"/>
          <w:szCs w:val="28"/>
        </w:rPr>
        <w:t>20</w:t>
      </w:r>
      <w:r>
        <w:rPr>
          <w:rFonts w:hint="eastAsia" w:ascii="宋体" w:hAnsi="宋体"/>
          <w:b/>
          <w:bCs/>
          <w:sz w:val="28"/>
          <w:szCs w:val="28"/>
          <w:lang w:val="en-US" w:eastAsia="zh-CN"/>
        </w:rPr>
        <w:t>20</w:t>
      </w:r>
      <w:r>
        <w:rPr>
          <w:rFonts w:hint="eastAsia" w:ascii="宋体" w:hAnsi="宋体"/>
          <w:b/>
          <w:bCs/>
          <w:sz w:val="28"/>
          <w:szCs w:val="28"/>
        </w:rPr>
        <w:t>年</w:t>
      </w:r>
      <w:r>
        <w:rPr>
          <w:rFonts w:hint="eastAsia" w:ascii="宋体" w:hAnsi="宋体"/>
          <w:b/>
          <w:bCs/>
          <w:sz w:val="28"/>
          <w:szCs w:val="28"/>
          <w:lang w:val="en-US" w:eastAsia="zh-CN"/>
        </w:rPr>
        <w:t>2</w:t>
      </w:r>
      <w:r>
        <w:rPr>
          <w:rFonts w:hint="eastAsia" w:ascii="宋体" w:hAnsi="宋体"/>
          <w:b/>
          <w:bCs/>
          <w:sz w:val="28"/>
          <w:szCs w:val="28"/>
        </w:rPr>
        <w:t>月</w:t>
      </w:r>
      <w:r>
        <w:rPr>
          <w:rFonts w:hint="eastAsia" w:ascii="宋体" w:hAnsi="宋体"/>
          <w:b/>
          <w:bCs/>
          <w:sz w:val="28"/>
          <w:szCs w:val="28"/>
          <w:lang w:val="en-US" w:eastAsia="zh-CN"/>
        </w:rPr>
        <w:t>15日</w:t>
      </w:r>
    </w:p>
    <w:p>
      <w:pPr>
        <w:spacing w:line="520" w:lineRule="exact"/>
        <w:ind w:firstLine="470" w:firstLineChars="196"/>
        <w:rPr>
          <w:rFonts w:hint="eastAsia" w:ascii="宋体" w:hAnsi="宋体"/>
          <w:sz w:val="24"/>
        </w:rPr>
      </w:pPr>
      <w:r>
        <w:rPr>
          <w:rFonts w:hint="eastAsia" w:ascii="宋体" w:hAnsi="宋体"/>
          <w:sz w:val="24"/>
        </w:rPr>
        <w:t>附表</w:t>
      </w:r>
      <w:r>
        <w:rPr>
          <w:rFonts w:hint="eastAsia" w:ascii="宋体" w:hAnsi="宋体"/>
          <w:sz w:val="24"/>
          <w:lang w:eastAsia="zh-CN"/>
        </w:rPr>
        <w:t>：</w:t>
      </w:r>
      <w:r>
        <w:rPr>
          <w:rFonts w:hint="eastAsia" w:ascii="宋体" w:hAnsi="宋体"/>
          <w:sz w:val="24"/>
        </w:rPr>
        <w:t>《2020级铜陵学院成人高等教育入学新生专业收费目录》</w:t>
      </w:r>
    </w:p>
    <w:p>
      <w:pPr>
        <w:spacing w:line="520" w:lineRule="exact"/>
        <w:ind w:firstLine="480" w:firstLineChars="200"/>
        <w:rPr>
          <w:rFonts w:hint="default" w:ascii="宋体" w:hAnsi="宋体"/>
          <w:sz w:val="24"/>
          <w:lang w:val="en-US"/>
        </w:rPr>
      </w:pPr>
      <w:r>
        <w:rPr>
          <w:rFonts w:hint="eastAsia" w:ascii="宋体" w:hAnsi="宋体"/>
          <w:sz w:val="24"/>
          <w:lang w:eastAsia="zh-CN"/>
        </w:rPr>
        <w:t>附件：《</w:t>
      </w:r>
      <w:r>
        <w:rPr>
          <w:rFonts w:hint="eastAsia" w:ascii="宋体" w:hAnsi="宋体"/>
          <w:sz w:val="24"/>
        </w:rPr>
        <w:t>网上缴费系统使用说明书</w:t>
      </w:r>
      <w:r>
        <w:rPr>
          <w:rFonts w:hint="eastAsia" w:ascii="宋体" w:hAnsi="宋体"/>
          <w:sz w:val="24"/>
          <w:lang w:eastAsia="zh-CN"/>
        </w:rPr>
        <w:t>》</w:t>
      </w:r>
    </w:p>
    <w:p>
      <w:pPr>
        <w:spacing w:line="520" w:lineRule="exact"/>
        <w:ind w:firstLine="482" w:firstLineChars="200"/>
        <w:rPr>
          <w:rFonts w:ascii="宋体" w:hAnsi="宋体"/>
          <w:sz w:val="24"/>
        </w:rPr>
      </w:pPr>
      <w:r>
        <w:rPr>
          <w:rFonts w:hint="eastAsia" w:ascii="宋体" w:hAnsi="宋体"/>
          <w:b/>
          <w:sz w:val="24"/>
        </w:rPr>
        <w:t>2、新生报到时间：</w:t>
      </w:r>
      <w:r>
        <w:rPr>
          <w:rFonts w:ascii="宋体" w:hAnsi="宋体"/>
          <w:b/>
          <w:bCs/>
          <w:sz w:val="28"/>
          <w:szCs w:val="28"/>
        </w:rPr>
        <w:t>20</w:t>
      </w:r>
      <w:r>
        <w:rPr>
          <w:rFonts w:hint="eastAsia" w:ascii="宋体" w:hAnsi="宋体"/>
          <w:b/>
          <w:bCs/>
          <w:sz w:val="28"/>
          <w:szCs w:val="28"/>
        </w:rPr>
        <w:t>19年3月6（周五）、7</w:t>
      </w:r>
      <w:r>
        <w:rPr>
          <w:rFonts w:hint="eastAsia" w:ascii="宋体" w:hAnsi="宋体"/>
          <w:b/>
          <w:bCs/>
          <w:sz w:val="28"/>
          <w:szCs w:val="28"/>
          <w:lang w:eastAsia="zh-CN"/>
        </w:rPr>
        <w:t>日</w:t>
      </w:r>
      <w:r>
        <w:rPr>
          <w:rFonts w:hint="eastAsia" w:ascii="宋体" w:hAnsi="宋体"/>
          <w:b/>
          <w:sz w:val="28"/>
          <w:szCs w:val="28"/>
        </w:rPr>
        <w:t>（周六）</w:t>
      </w:r>
      <w:r>
        <w:rPr>
          <w:rFonts w:hint="eastAsia" w:ascii="宋体" w:hAnsi="宋体"/>
          <w:sz w:val="24"/>
        </w:rPr>
        <w:t>，</w:t>
      </w:r>
    </w:p>
    <w:p>
      <w:pPr>
        <w:spacing w:line="520" w:lineRule="exact"/>
        <w:ind w:firstLine="2400" w:firstLineChars="1000"/>
        <w:rPr>
          <w:rFonts w:ascii="宋体" w:hAnsi="宋体"/>
          <w:sz w:val="24"/>
        </w:rPr>
      </w:pPr>
      <w:r>
        <w:rPr>
          <w:rFonts w:hint="eastAsia" w:ascii="宋体" w:hAnsi="宋体"/>
          <w:sz w:val="24"/>
        </w:rPr>
        <w:t>（上午8：00—11:30；下午2:30—4：30点。）</w:t>
      </w:r>
    </w:p>
    <w:p>
      <w:pPr>
        <w:spacing w:line="520" w:lineRule="exact"/>
        <w:ind w:firstLine="472" w:firstLineChars="196"/>
        <w:rPr>
          <w:rFonts w:ascii="宋体" w:hAnsi="宋体"/>
          <w:bCs/>
          <w:sz w:val="24"/>
        </w:rPr>
      </w:pPr>
      <w:r>
        <w:rPr>
          <w:rFonts w:hint="eastAsia" w:ascii="宋体" w:hAnsi="宋体"/>
          <w:b/>
          <w:sz w:val="24"/>
        </w:rPr>
        <w:t>3、报到地点：</w:t>
      </w:r>
      <w:r>
        <w:rPr>
          <w:rFonts w:hint="eastAsia" w:ascii="宋体" w:hAnsi="宋体"/>
          <w:sz w:val="24"/>
        </w:rPr>
        <w:t>铜陵市北京中路297号，</w:t>
      </w:r>
      <w:r>
        <w:rPr>
          <w:rFonts w:hint="eastAsia" w:ascii="宋体" w:hAnsi="宋体"/>
          <w:bCs/>
          <w:sz w:val="24"/>
        </w:rPr>
        <w:t>铜陵学院本部教学楼各专业教室。</w:t>
      </w:r>
    </w:p>
    <w:p>
      <w:pPr>
        <w:spacing w:line="520" w:lineRule="exact"/>
        <w:ind w:firstLine="472" w:firstLineChars="196"/>
        <w:rPr>
          <w:rFonts w:ascii="宋体" w:hAnsi="宋体"/>
          <w:b/>
          <w:sz w:val="24"/>
        </w:rPr>
      </w:pPr>
      <w:r>
        <w:rPr>
          <w:rFonts w:hint="eastAsia" w:ascii="宋体" w:hAnsi="宋体"/>
          <w:b/>
          <w:sz w:val="24"/>
        </w:rPr>
        <w:t>4、学信建档及报到要求：</w:t>
      </w:r>
    </w:p>
    <w:p>
      <w:pPr>
        <w:spacing w:line="520" w:lineRule="exact"/>
        <w:ind w:firstLine="480" w:firstLineChars="200"/>
        <w:rPr>
          <w:rFonts w:ascii="宋体" w:hAnsi="宋体"/>
          <w:b/>
          <w:sz w:val="24"/>
        </w:rPr>
      </w:pPr>
      <w:r>
        <w:rPr>
          <w:rFonts w:hint="eastAsia" w:ascii="宋体" w:hAnsi="宋体"/>
          <w:sz w:val="24"/>
        </w:rPr>
        <w:t>凡我院</w:t>
      </w:r>
      <w:r>
        <w:rPr>
          <w:rFonts w:ascii="宋体" w:hAnsi="宋体"/>
          <w:sz w:val="24"/>
        </w:rPr>
        <w:t>20</w:t>
      </w:r>
      <w:r>
        <w:rPr>
          <w:rFonts w:hint="eastAsia" w:ascii="宋体" w:hAnsi="宋体"/>
          <w:sz w:val="24"/>
        </w:rPr>
        <w:t>20级录取的各专业新生，由本人在报到的时间内，持入学通知书和准考证、身份证（复印件一份）及缴费成功后收费结果查询页面（打印纸质版一份）到继教院报到；委托代办的须持本人签名的授权书方可办理。</w:t>
      </w:r>
      <w:r>
        <w:rPr>
          <w:rFonts w:hint="eastAsia" w:ascii="宋体" w:hAnsi="宋体"/>
          <w:b/>
          <w:sz w:val="24"/>
        </w:rPr>
        <w:t>专升本新生须同时持国民教育系列高等学校或高等教育自学考试机构颁发的大学专科或以上毕业证书（原件复核和复印件一份留存）报到。</w:t>
      </w:r>
    </w:p>
    <w:p>
      <w:pPr>
        <w:spacing w:line="520" w:lineRule="exact"/>
        <w:ind w:firstLine="482" w:firstLineChars="200"/>
        <w:rPr>
          <w:rFonts w:ascii="宋体" w:hAnsi="宋体"/>
          <w:sz w:val="24"/>
        </w:rPr>
      </w:pPr>
      <w:r>
        <w:rPr>
          <w:rFonts w:hint="eastAsia" w:ascii="宋体" w:hAnsi="宋体"/>
          <w:b/>
          <w:sz w:val="24"/>
        </w:rPr>
        <w:t>本人必须在领取录取通知书后到2020年1月底前登陆</w:t>
      </w:r>
      <w:r>
        <w:fldChar w:fldCharType="begin"/>
      </w:r>
      <w:r>
        <w:instrText xml:space="preserve"> HYPERLINK "http://www.chsi.com.cn" </w:instrText>
      </w:r>
      <w:r>
        <w:fldChar w:fldCharType="separate"/>
      </w:r>
      <w:r>
        <w:rPr>
          <w:rStyle w:val="8"/>
          <w:rFonts w:hint="eastAsia" w:ascii="宋体" w:hAnsi="宋体"/>
          <w:b/>
          <w:sz w:val="30"/>
          <w:szCs w:val="30"/>
        </w:rPr>
        <w:t>www.chsi.com.cn</w:t>
      </w:r>
      <w:r>
        <w:rPr>
          <w:rStyle w:val="8"/>
          <w:rFonts w:hint="eastAsia" w:ascii="宋体" w:hAnsi="宋体"/>
          <w:b/>
          <w:sz w:val="30"/>
          <w:szCs w:val="30"/>
        </w:rPr>
        <w:fldChar w:fldCharType="end"/>
      </w:r>
      <w:r>
        <w:rPr>
          <w:rFonts w:hint="eastAsia" w:ascii="宋体" w:hAnsi="宋体"/>
          <w:b/>
          <w:sz w:val="24"/>
        </w:rPr>
        <w:t>（中国高等教育学历信息网），注册本人的学信档案，便于教育部官网的专科资格审核和学籍注册顺利通过。</w:t>
      </w:r>
    </w:p>
    <w:p>
      <w:pPr>
        <w:spacing w:line="520" w:lineRule="exact"/>
        <w:ind w:firstLine="482" w:firstLineChars="200"/>
        <w:rPr>
          <w:rFonts w:ascii="宋体" w:hAnsi="宋体"/>
          <w:b/>
          <w:sz w:val="24"/>
        </w:rPr>
      </w:pPr>
      <w:r>
        <w:rPr>
          <w:rFonts w:hint="eastAsia" w:ascii="宋体" w:hAnsi="宋体"/>
          <w:b/>
          <w:sz w:val="24"/>
        </w:rPr>
        <w:t>报到时，提供本人近期同底蓝色照片1寸2张和中国高等教育学历信息网本人最后学历信息打印件一份，如不能提供者学校不予注册学籍；</w:t>
      </w:r>
    </w:p>
    <w:p>
      <w:pPr>
        <w:spacing w:line="520" w:lineRule="exact"/>
        <w:ind w:firstLine="482" w:firstLineChars="200"/>
        <w:rPr>
          <w:rFonts w:ascii="宋体" w:hAnsi="宋体"/>
          <w:b/>
          <w:sz w:val="24"/>
        </w:rPr>
      </w:pPr>
      <w:r>
        <w:rPr>
          <w:rFonts w:hint="eastAsia" w:ascii="宋体" w:hAnsi="宋体"/>
          <w:b/>
          <w:bCs/>
          <w:sz w:val="24"/>
        </w:rPr>
        <w:t>逾期两周不缴费报到者，视为自动放弃学籍</w:t>
      </w:r>
      <w:r>
        <w:rPr>
          <w:rFonts w:hint="eastAsia" w:ascii="宋体" w:hAnsi="宋体"/>
          <w:b/>
          <w:sz w:val="24"/>
        </w:rPr>
        <w:t>；有特殊情况者，须提前电话告知学院老师，且在15天以内持有关单位证明报到有效。</w:t>
      </w:r>
    </w:p>
    <w:p>
      <w:pPr>
        <w:spacing w:line="520" w:lineRule="exact"/>
        <w:ind w:firstLine="472" w:firstLineChars="196"/>
        <w:rPr>
          <w:rFonts w:ascii="宋体" w:hAnsi="宋体"/>
          <w:sz w:val="24"/>
        </w:rPr>
      </w:pPr>
      <w:r>
        <w:rPr>
          <w:rFonts w:hint="eastAsia" w:ascii="宋体" w:hAnsi="宋体"/>
          <w:b/>
          <w:sz w:val="24"/>
        </w:rPr>
        <w:t>5、学籍与注册：</w:t>
      </w:r>
    </w:p>
    <w:p>
      <w:pPr>
        <w:spacing w:line="520" w:lineRule="exact"/>
        <w:ind w:firstLine="480" w:firstLineChars="200"/>
        <w:rPr>
          <w:rFonts w:ascii="宋体" w:hAnsi="宋体"/>
          <w:b/>
          <w:sz w:val="24"/>
        </w:rPr>
      </w:pPr>
      <w:r>
        <w:rPr>
          <w:rFonts w:hint="eastAsia" w:ascii="宋体" w:hAnsi="宋体"/>
          <w:sz w:val="24"/>
        </w:rPr>
        <w:t>新生报到后，其入学资格（特别是专科证书类别、真伪的甄别），须经学院初审，再经省厅和教育部审核确认合格后，予以正式注册学籍；凡经审核不合格者，不予注册学籍，责任自负，学费一律不予清退。</w:t>
      </w:r>
    </w:p>
    <w:p>
      <w:pPr>
        <w:spacing w:line="520" w:lineRule="exact"/>
        <w:ind w:firstLine="472" w:firstLineChars="196"/>
        <w:rPr>
          <w:rFonts w:ascii="宋体" w:hAnsi="宋体"/>
          <w:sz w:val="24"/>
        </w:rPr>
      </w:pPr>
      <w:r>
        <w:rPr>
          <w:rFonts w:hint="eastAsia" w:ascii="宋体" w:hAnsi="宋体"/>
          <w:b/>
          <w:sz w:val="24"/>
        </w:rPr>
        <w:t>二、学习安排：</w:t>
      </w:r>
    </w:p>
    <w:p>
      <w:pPr>
        <w:spacing w:line="520" w:lineRule="exact"/>
        <w:ind w:firstLine="480" w:firstLineChars="200"/>
        <w:rPr>
          <w:rFonts w:ascii="宋体" w:hAnsi="宋体"/>
          <w:sz w:val="24"/>
        </w:rPr>
      </w:pPr>
      <w:r>
        <w:rPr>
          <w:rFonts w:hint="eastAsia" w:ascii="宋体" w:hAnsi="宋体"/>
          <w:sz w:val="24"/>
        </w:rPr>
        <w:t>3月16日正式开课，2020级新生根据</w:t>
      </w:r>
      <w:r>
        <w:rPr>
          <w:rFonts w:hint="eastAsia" w:ascii="宋体" w:hAnsi="宋体"/>
          <w:sz w:val="24"/>
          <w:lang w:eastAsia="zh-CN"/>
        </w:rPr>
        <w:t>继续教育</w:t>
      </w:r>
      <w:bookmarkStart w:id="0" w:name="_GoBack"/>
      <w:bookmarkEnd w:id="0"/>
      <w:r>
        <w:rPr>
          <w:rFonts w:hint="eastAsia" w:ascii="宋体" w:hAnsi="宋体"/>
          <w:sz w:val="24"/>
        </w:rPr>
        <w:t>学院上课安排远程化网络课程在线学习及在线考试，具体网络课程在线学习课表，详见继续教育学院网站（jc.tlu.edu.cn）。</w:t>
      </w:r>
    </w:p>
    <w:p>
      <w:pPr>
        <w:spacing w:line="520" w:lineRule="exact"/>
        <w:ind w:firstLine="472" w:firstLineChars="196"/>
        <w:rPr>
          <w:rFonts w:ascii="宋体" w:hAnsi="宋体"/>
          <w:b/>
          <w:sz w:val="24"/>
        </w:rPr>
      </w:pPr>
      <w:r>
        <w:rPr>
          <w:rFonts w:hint="eastAsia" w:ascii="宋体" w:hAnsi="宋体"/>
          <w:b/>
          <w:sz w:val="24"/>
        </w:rPr>
        <w:t>三、报到手续：</w:t>
      </w:r>
    </w:p>
    <w:p>
      <w:pPr>
        <w:spacing w:line="520" w:lineRule="exact"/>
        <w:ind w:firstLine="472" w:firstLineChars="196"/>
        <w:rPr>
          <w:rFonts w:ascii="宋体" w:hAnsi="宋体"/>
          <w:b/>
          <w:sz w:val="24"/>
        </w:rPr>
      </w:pPr>
      <w:r>
        <w:rPr>
          <w:rFonts w:hint="eastAsia" w:ascii="宋体" w:hAnsi="宋体"/>
          <w:b/>
          <w:sz w:val="24"/>
        </w:rPr>
        <w:t>1、</w:t>
      </w:r>
      <w:r>
        <w:rPr>
          <w:rFonts w:hint="eastAsia" w:ascii="宋体" w:hAnsi="宋体"/>
          <w:sz w:val="24"/>
        </w:rPr>
        <w:t>新生报到后，领取并填写《铜陵学院成人高等教育学生学籍登记表》（一式两份），粘贴照片（</w:t>
      </w:r>
      <w:r>
        <w:rPr>
          <w:rFonts w:ascii="宋体" w:hAnsi="宋体"/>
          <w:sz w:val="24"/>
        </w:rPr>
        <w:t>1</w:t>
      </w:r>
      <w:r>
        <w:rPr>
          <w:rFonts w:hint="eastAsia" w:ascii="宋体" w:hAnsi="宋体"/>
          <w:sz w:val="24"/>
        </w:rPr>
        <w:t>寸）后交回；专升本学员须签署《有效专科文凭承诺书》。</w:t>
      </w:r>
    </w:p>
    <w:p>
      <w:pPr>
        <w:spacing w:line="520" w:lineRule="exact"/>
        <w:ind w:firstLine="482" w:firstLineChars="200"/>
        <w:rPr>
          <w:rFonts w:ascii="宋体" w:hAnsi="宋体"/>
          <w:sz w:val="24"/>
        </w:rPr>
      </w:pPr>
      <w:r>
        <w:rPr>
          <w:rFonts w:hint="eastAsia" w:ascii="宋体" w:hAnsi="宋体"/>
          <w:b/>
          <w:sz w:val="24"/>
        </w:rPr>
        <w:t>2、</w:t>
      </w:r>
      <w:r>
        <w:rPr>
          <w:rFonts w:hint="eastAsia" w:ascii="宋体" w:hAnsi="宋体"/>
          <w:sz w:val="24"/>
        </w:rPr>
        <w:t>根据学制，及时交纳各年度学费，续费时间为每年度3月份；学生本人应妥善保留好各学年的交费收据。</w:t>
      </w:r>
    </w:p>
    <w:p>
      <w:pPr>
        <w:spacing w:line="520" w:lineRule="exact"/>
        <w:ind w:firstLine="472" w:firstLineChars="196"/>
        <w:rPr>
          <w:rFonts w:ascii="宋体" w:hAnsi="宋体"/>
          <w:sz w:val="24"/>
        </w:rPr>
      </w:pPr>
      <w:r>
        <w:rPr>
          <w:rFonts w:hint="eastAsia" w:ascii="宋体" w:hAnsi="宋体"/>
          <w:b/>
          <w:sz w:val="24"/>
        </w:rPr>
        <w:t>3、</w:t>
      </w:r>
      <w:r>
        <w:rPr>
          <w:rFonts w:hint="eastAsia" w:ascii="宋体" w:hAnsi="宋体"/>
          <w:sz w:val="24"/>
        </w:rPr>
        <w:t>办公联系电话：</w:t>
      </w:r>
      <w:r>
        <w:rPr>
          <w:rFonts w:ascii="宋体" w:hAnsi="宋体"/>
          <w:sz w:val="24"/>
        </w:rPr>
        <w:t>0562</w:t>
      </w:r>
      <w:r>
        <w:rPr>
          <w:rFonts w:hint="eastAsia" w:ascii="宋体" w:hAnsi="宋体"/>
          <w:sz w:val="24"/>
        </w:rPr>
        <w:t xml:space="preserve">——2862230、2839814   </w:t>
      </w:r>
    </w:p>
    <w:p>
      <w:pPr>
        <w:spacing w:line="520" w:lineRule="exact"/>
        <w:ind w:firstLine="964" w:firstLineChars="400"/>
        <w:rPr>
          <w:rFonts w:hint="default" w:ascii="宋体" w:hAnsi="宋体" w:eastAsia="宋体"/>
          <w:b/>
          <w:sz w:val="24"/>
          <w:lang w:val="en-US" w:eastAsia="zh-CN"/>
        </w:rPr>
      </w:pPr>
      <w:r>
        <w:rPr>
          <w:rFonts w:hint="eastAsia" w:ascii="宋体" w:hAnsi="宋体"/>
          <w:b/>
          <w:sz w:val="24"/>
        </w:rPr>
        <w:t>铜陵学院成教高级群：</w:t>
      </w:r>
      <w:r>
        <w:rPr>
          <w:rFonts w:ascii="宋体" w:hAnsi="宋体"/>
          <w:b/>
          <w:sz w:val="24"/>
        </w:rPr>
        <w:t>21990323</w:t>
      </w:r>
      <w:r>
        <w:rPr>
          <w:rFonts w:hint="eastAsia" w:ascii="宋体" w:hAnsi="宋体"/>
          <w:b/>
          <w:sz w:val="24"/>
          <w:lang w:eastAsia="zh-CN"/>
        </w:rPr>
        <w:t>、网课学习群：</w:t>
      </w:r>
      <w:r>
        <w:rPr>
          <w:rFonts w:hint="eastAsia" w:ascii="宋体" w:hAnsi="宋体"/>
          <w:b/>
          <w:sz w:val="24"/>
          <w:lang w:val="en-US" w:eastAsia="zh-CN"/>
        </w:rPr>
        <w:t>787265858</w:t>
      </w:r>
    </w:p>
    <w:p>
      <w:pPr>
        <w:spacing w:line="440" w:lineRule="exact"/>
        <w:ind w:firstLine="588" w:firstLineChars="245"/>
        <w:rPr>
          <w:rFonts w:ascii="宋体" w:hAnsi="宋体"/>
          <w:sz w:val="24"/>
        </w:rPr>
      </w:pPr>
    </w:p>
    <w:p>
      <w:pPr>
        <w:spacing w:line="440" w:lineRule="exact"/>
        <w:ind w:left="3360" w:leftChars="1600" w:firstLine="2229" w:firstLineChars="925"/>
        <w:rPr>
          <w:rFonts w:ascii="宋体" w:hAnsi="宋体"/>
          <w:b/>
          <w:bCs/>
          <w:sz w:val="24"/>
        </w:rPr>
      </w:pPr>
      <w:r>
        <w:rPr>
          <w:rFonts w:hint="eastAsia" w:ascii="宋体" w:hAnsi="宋体"/>
          <w:b/>
          <w:bCs/>
          <w:sz w:val="24"/>
        </w:rPr>
        <w:t>铜陵学院继续教育学院</w:t>
      </w:r>
    </w:p>
    <w:p>
      <w:pPr>
        <w:spacing w:line="440" w:lineRule="exact"/>
        <w:ind w:left="3360" w:leftChars="1600" w:firstLine="2453" w:firstLineChars="1018"/>
        <w:rPr>
          <w:rFonts w:ascii="宋体" w:hAnsi="宋体"/>
          <w:b/>
          <w:bCs/>
          <w:sz w:val="24"/>
        </w:rPr>
      </w:pPr>
      <w:r>
        <w:rPr>
          <w:rFonts w:ascii="宋体" w:hAnsi="宋体"/>
          <w:b/>
          <w:bCs/>
          <w:sz w:val="24"/>
        </w:rPr>
        <w:t>20</w:t>
      </w:r>
      <w:r>
        <w:rPr>
          <w:rFonts w:hint="eastAsia" w:ascii="宋体" w:hAnsi="宋体"/>
          <w:b/>
          <w:bCs/>
          <w:sz w:val="24"/>
        </w:rPr>
        <w:t>19年12月1</w:t>
      </w:r>
      <w:r>
        <w:rPr>
          <w:rFonts w:hint="eastAsia" w:ascii="宋体" w:hAnsi="宋体"/>
          <w:b/>
          <w:bCs/>
          <w:sz w:val="24"/>
          <w:lang w:val="en-US" w:eastAsia="zh-CN"/>
        </w:rPr>
        <w:t>8</w:t>
      </w:r>
      <w:r>
        <w:rPr>
          <w:rFonts w:hint="eastAsia" w:ascii="宋体" w:hAnsi="宋体"/>
          <w:b/>
          <w:bCs/>
          <w:sz w:val="24"/>
        </w:rPr>
        <w:t>日</w:t>
      </w:r>
    </w:p>
    <w:p>
      <w:pPr>
        <w:spacing w:line="440" w:lineRule="exact"/>
        <w:rPr>
          <w:rFonts w:ascii="宋体" w:hAnsi="宋体"/>
          <w:b/>
          <w:bCs/>
          <w:sz w:val="24"/>
        </w:rPr>
      </w:pPr>
      <w:r>
        <w:rPr>
          <w:rFonts w:hint="eastAsia" w:ascii="宋体" w:hAnsi="宋体"/>
          <w:b/>
          <w:bCs/>
          <w:sz w:val="24"/>
        </w:rPr>
        <w:t>附表：</w:t>
      </w:r>
    </w:p>
    <w:p>
      <w:pPr>
        <w:spacing w:line="440" w:lineRule="exact"/>
        <w:jc w:val="center"/>
        <w:rPr>
          <w:rFonts w:ascii="宋体" w:hAnsi="宋体"/>
          <w:b/>
          <w:sz w:val="24"/>
        </w:rPr>
      </w:pPr>
      <w:r>
        <w:rPr>
          <w:rFonts w:hint="eastAsia" w:ascii="宋体" w:hAnsi="宋体"/>
          <w:b/>
          <w:sz w:val="24"/>
        </w:rPr>
        <w:t>《2020级铜陵学院成人高等教育入学新生专业收费目录》</w:t>
      </w:r>
    </w:p>
    <w:p>
      <w:pPr>
        <w:spacing w:line="440" w:lineRule="exact"/>
        <w:jc w:val="center"/>
      </w:pPr>
    </w:p>
    <w:tbl>
      <w:tblPr>
        <w:tblStyle w:val="6"/>
        <w:tblpPr w:leftFromText="45" w:rightFromText="45" w:vertAnchor="text" w:tblpXSpec="center"/>
        <w:tblW w:w="8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3355"/>
        <w:gridCol w:w="1122"/>
        <w:gridCol w:w="994"/>
        <w:gridCol w:w="1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433" w:type="dxa"/>
            <w:noWrap/>
            <w:vAlign w:val="center"/>
          </w:tcPr>
          <w:p>
            <w:pPr>
              <w:widowControl/>
              <w:spacing w:line="360" w:lineRule="atLeast"/>
              <w:jc w:val="center"/>
              <w:rPr>
                <w:rFonts w:ascii="宋体" w:hAnsi="宋体" w:cs="宋体"/>
                <w:kern w:val="0"/>
                <w:szCs w:val="21"/>
              </w:rPr>
            </w:pPr>
            <w:r>
              <w:rPr>
                <w:rFonts w:ascii="宋体" w:hAnsi="宋体" w:cs="宋体"/>
                <w:bCs/>
                <w:kern w:val="0"/>
                <w:szCs w:val="21"/>
              </w:rPr>
              <w:t>层</w:t>
            </w:r>
            <w:r>
              <w:rPr>
                <w:rFonts w:hint="eastAsia" w:ascii="宋体" w:hAnsi="宋体" w:cs="宋体"/>
                <w:bCs/>
                <w:kern w:val="0"/>
                <w:szCs w:val="21"/>
                <w:lang w:val="en-US" w:eastAsia="zh-CN"/>
              </w:rPr>
              <w:t xml:space="preserve"> </w:t>
            </w:r>
            <w:r>
              <w:rPr>
                <w:rFonts w:ascii="宋体" w:hAnsi="宋体" w:cs="宋体"/>
                <w:bCs/>
                <w:kern w:val="0"/>
                <w:szCs w:val="21"/>
              </w:rPr>
              <w:t>次</w:t>
            </w:r>
          </w:p>
        </w:tc>
        <w:tc>
          <w:tcPr>
            <w:tcW w:w="3355" w:type="dxa"/>
            <w:noWrap/>
            <w:vAlign w:val="center"/>
          </w:tcPr>
          <w:p>
            <w:pPr>
              <w:widowControl/>
              <w:spacing w:line="360" w:lineRule="atLeast"/>
              <w:jc w:val="center"/>
              <w:rPr>
                <w:rFonts w:ascii="宋体" w:hAnsi="宋体" w:cs="宋体"/>
                <w:kern w:val="0"/>
                <w:szCs w:val="21"/>
              </w:rPr>
            </w:pPr>
            <w:r>
              <w:rPr>
                <w:rFonts w:ascii="宋体" w:hAnsi="宋体" w:cs="宋体"/>
                <w:bCs/>
                <w:kern w:val="0"/>
                <w:szCs w:val="21"/>
              </w:rPr>
              <w:t>招生专业</w:t>
            </w:r>
          </w:p>
        </w:tc>
        <w:tc>
          <w:tcPr>
            <w:tcW w:w="1122" w:type="dxa"/>
            <w:noWrap/>
            <w:vAlign w:val="center"/>
          </w:tcPr>
          <w:p>
            <w:pPr>
              <w:widowControl/>
              <w:spacing w:line="360" w:lineRule="atLeast"/>
              <w:jc w:val="center"/>
              <w:rPr>
                <w:rFonts w:ascii="宋体" w:hAnsi="宋体" w:cs="宋体"/>
                <w:kern w:val="0"/>
                <w:szCs w:val="21"/>
              </w:rPr>
            </w:pPr>
            <w:r>
              <w:rPr>
                <w:rFonts w:ascii="宋体" w:hAnsi="宋体" w:cs="宋体"/>
                <w:bCs/>
                <w:kern w:val="0"/>
                <w:szCs w:val="21"/>
              </w:rPr>
              <w:t>学制</w:t>
            </w:r>
          </w:p>
        </w:tc>
        <w:tc>
          <w:tcPr>
            <w:tcW w:w="994" w:type="dxa"/>
            <w:noWrap/>
            <w:vAlign w:val="center"/>
          </w:tcPr>
          <w:p>
            <w:pPr>
              <w:widowControl/>
              <w:spacing w:line="360" w:lineRule="atLeast"/>
              <w:jc w:val="center"/>
              <w:rPr>
                <w:rFonts w:ascii="宋体" w:hAnsi="宋体" w:cs="宋体"/>
                <w:kern w:val="0"/>
                <w:szCs w:val="21"/>
              </w:rPr>
            </w:pPr>
            <w:r>
              <w:rPr>
                <w:rFonts w:ascii="宋体" w:hAnsi="宋体" w:cs="宋体"/>
                <w:bCs/>
                <w:kern w:val="0"/>
                <w:szCs w:val="21"/>
              </w:rPr>
              <w:t>学习</w:t>
            </w:r>
            <w:r>
              <w:rPr>
                <w:rFonts w:hint="eastAsia" w:ascii="宋体" w:hAnsi="宋体" w:cs="宋体"/>
                <w:bCs/>
                <w:kern w:val="0"/>
                <w:szCs w:val="21"/>
                <w:lang w:val="en-US" w:eastAsia="zh-CN"/>
              </w:rPr>
              <w:t xml:space="preserve">  </w:t>
            </w:r>
            <w:r>
              <w:rPr>
                <w:rFonts w:ascii="宋体" w:hAnsi="宋体" w:cs="宋体"/>
                <w:bCs/>
                <w:kern w:val="0"/>
                <w:szCs w:val="21"/>
              </w:rPr>
              <w:t>形式</w:t>
            </w:r>
          </w:p>
        </w:tc>
        <w:tc>
          <w:tcPr>
            <w:tcW w:w="1634" w:type="dxa"/>
            <w:noWrap/>
            <w:vAlign w:val="center"/>
          </w:tcPr>
          <w:p>
            <w:pPr>
              <w:widowControl/>
              <w:spacing w:line="360" w:lineRule="atLeast"/>
              <w:jc w:val="center"/>
              <w:rPr>
                <w:rFonts w:ascii="宋体" w:hAnsi="宋体" w:cs="宋体"/>
                <w:kern w:val="0"/>
                <w:szCs w:val="21"/>
              </w:rPr>
            </w:pPr>
            <w:r>
              <w:rPr>
                <w:rFonts w:ascii="宋体" w:hAnsi="宋体" w:cs="宋体"/>
                <w:bCs/>
                <w:kern w:val="0"/>
                <w:szCs w:val="21"/>
              </w:rPr>
              <w:t>学费（元/年）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433" w:type="dxa"/>
            <w:vMerge w:val="restart"/>
            <w:noWrap/>
            <w:vAlign w:val="center"/>
          </w:tcPr>
          <w:p>
            <w:pPr>
              <w:widowControl/>
              <w:spacing w:line="360" w:lineRule="atLeast"/>
              <w:jc w:val="center"/>
              <w:rPr>
                <w:rFonts w:ascii="宋体" w:hAnsi="宋体" w:cs="宋体"/>
                <w:kern w:val="0"/>
                <w:szCs w:val="21"/>
              </w:rPr>
            </w:pPr>
            <w:r>
              <w:rPr>
                <w:rFonts w:ascii="宋体" w:hAnsi="宋体" w:cs="宋体"/>
                <w:bCs/>
                <w:kern w:val="0"/>
                <w:szCs w:val="21"/>
              </w:rPr>
              <w:t>专升本</w:t>
            </w:r>
          </w:p>
        </w:tc>
        <w:tc>
          <w:tcPr>
            <w:tcW w:w="3355" w:type="dxa"/>
            <w:noWrap/>
            <w:vAlign w:val="center"/>
          </w:tcPr>
          <w:p>
            <w:pPr>
              <w:widowControl/>
              <w:spacing w:line="360" w:lineRule="atLeast"/>
              <w:jc w:val="center"/>
              <w:rPr>
                <w:rFonts w:ascii="宋体" w:hAnsi="宋体" w:cs="宋体"/>
                <w:kern w:val="0"/>
                <w:szCs w:val="21"/>
              </w:rPr>
            </w:pPr>
            <w:r>
              <w:rPr>
                <w:rFonts w:ascii="宋体" w:hAnsi="宋体" w:cs="宋体"/>
                <w:bCs/>
                <w:kern w:val="0"/>
                <w:szCs w:val="21"/>
              </w:rPr>
              <w:t>法 学</w:t>
            </w:r>
          </w:p>
        </w:tc>
        <w:tc>
          <w:tcPr>
            <w:tcW w:w="1122" w:type="dxa"/>
            <w:vMerge w:val="restart"/>
            <w:noWrap/>
            <w:vAlign w:val="center"/>
          </w:tcPr>
          <w:p>
            <w:pPr>
              <w:widowControl/>
              <w:spacing w:line="360" w:lineRule="atLeast"/>
              <w:jc w:val="center"/>
              <w:rPr>
                <w:rFonts w:ascii="宋体" w:hAnsi="宋体" w:cs="宋体"/>
                <w:kern w:val="0"/>
                <w:szCs w:val="21"/>
              </w:rPr>
            </w:pPr>
            <w:r>
              <w:rPr>
                <w:rFonts w:ascii="宋体" w:hAnsi="宋体" w:cs="宋体"/>
                <w:bCs/>
                <w:kern w:val="0"/>
                <w:szCs w:val="21"/>
              </w:rPr>
              <w:t>2.5年</w:t>
            </w:r>
          </w:p>
        </w:tc>
        <w:tc>
          <w:tcPr>
            <w:tcW w:w="994" w:type="dxa"/>
            <w:vMerge w:val="restart"/>
            <w:noWrap/>
            <w:vAlign w:val="center"/>
          </w:tcPr>
          <w:p>
            <w:pPr>
              <w:widowControl/>
              <w:spacing w:line="360" w:lineRule="atLeast"/>
              <w:jc w:val="center"/>
              <w:rPr>
                <w:rFonts w:ascii="宋体" w:hAnsi="宋体" w:cs="宋体"/>
                <w:kern w:val="0"/>
                <w:szCs w:val="21"/>
              </w:rPr>
            </w:pPr>
            <w:r>
              <w:rPr>
                <w:rFonts w:ascii="宋体" w:hAnsi="宋体" w:cs="宋体"/>
                <w:bCs/>
                <w:kern w:val="0"/>
                <w:szCs w:val="21"/>
              </w:rPr>
              <w:t>函授</w:t>
            </w:r>
          </w:p>
        </w:tc>
        <w:tc>
          <w:tcPr>
            <w:tcW w:w="1634" w:type="dxa"/>
            <w:noWrap/>
            <w:vAlign w:val="center"/>
          </w:tcPr>
          <w:p>
            <w:pPr>
              <w:widowControl/>
              <w:spacing w:line="360" w:lineRule="atLeast"/>
              <w:jc w:val="center"/>
              <w:rPr>
                <w:rFonts w:ascii="宋体" w:hAnsi="宋体" w:cs="宋体"/>
                <w:kern w:val="0"/>
                <w:szCs w:val="21"/>
              </w:rPr>
            </w:pPr>
            <w:r>
              <w:rPr>
                <w:rFonts w:ascii="宋体" w:hAnsi="宋体" w:cs="宋体"/>
                <w:bCs/>
                <w:kern w:val="0"/>
                <w:szCs w:val="21"/>
              </w:rPr>
              <w:t>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433" w:type="dxa"/>
            <w:vMerge w:val="continue"/>
            <w:noWrap/>
            <w:vAlign w:val="center"/>
          </w:tcPr>
          <w:p>
            <w:pPr>
              <w:widowControl/>
              <w:spacing w:line="360" w:lineRule="atLeast"/>
              <w:jc w:val="center"/>
              <w:rPr>
                <w:rFonts w:ascii="宋体" w:hAnsi="宋体" w:cs="宋体"/>
                <w:bCs/>
                <w:kern w:val="0"/>
                <w:szCs w:val="21"/>
              </w:rPr>
            </w:pPr>
          </w:p>
        </w:tc>
        <w:tc>
          <w:tcPr>
            <w:tcW w:w="3355" w:type="dxa"/>
            <w:noWrap/>
            <w:vAlign w:val="center"/>
          </w:tcPr>
          <w:p>
            <w:pPr>
              <w:widowControl/>
              <w:spacing w:line="360" w:lineRule="atLeast"/>
              <w:jc w:val="center"/>
              <w:rPr>
                <w:rFonts w:ascii="宋体" w:hAnsi="宋体" w:cs="宋体"/>
                <w:bCs/>
                <w:kern w:val="0"/>
                <w:szCs w:val="21"/>
              </w:rPr>
            </w:pPr>
            <w:r>
              <w:rPr>
                <w:rFonts w:ascii="宋体" w:hAnsi="宋体" w:cs="宋体"/>
                <w:bCs/>
                <w:kern w:val="0"/>
                <w:szCs w:val="21"/>
              </w:rPr>
              <w:t>土木工程</w:t>
            </w:r>
          </w:p>
        </w:tc>
        <w:tc>
          <w:tcPr>
            <w:tcW w:w="1122" w:type="dxa"/>
            <w:vMerge w:val="continue"/>
            <w:noWrap/>
            <w:vAlign w:val="center"/>
          </w:tcPr>
          <w:p>
            <w:pPr>
              <w:widowControl/>
              <w:spacing w:line="360" w:lineRule="atLeast"/>
              <w:jc w:val="center"/>
              <w:rPr>
                <w:rFonts w:ascii="宋体" w:hAnsi="宋体" w:cs="宋体"/>
                <w:bCs/>
                <w:kern w:val="0"/>
                <w:szCs w:val="21"/>
              </w:rPr>
            </w:pPr>
          </w:p>
        </w:tc>
        <w:tc>
          <w:tcPr>
            <w:tcW w:w="994" w:type="dxa"/>
            <w:vMerge w:val="continue"/>
            <w:noWrap/>
            <w:vAlign w:val="center"/>
          </w:tcPr>
          <w:p>
            <w:pPr>
              <w:widowControl/>
              <w:spacing w:line="360" w:lineRule="atLeast"/>
              <w:jc w:val="center"/>
              <w:rPr>
                <w:rFonts w:ascii="宋体" w:hAnsi="宋体" w:cs="宋体"/>
                <w:bCs/>
                <w:kern w:val="0"/>
                <w:szCs w:val="21"/>
              </w:rPr>
            </w:pPr>
          </w:p>
        </w:tc>
        <w:tc>
          <w:tcPr>
            <w:tcW w:w="1634" w:type="dxa"/>
            <w:noWrap/>
            <w:vAlign w:val="center"/>
          </w:tcPr>
          <w:p>
            <w:pPr>
              <w:widowControl/>
              <w:spacing w:line="360" w:lineRule="atLeast"/>
              <w:jc w:val="center"/>
              <w:rPr>
                <w:rFonts w:ascii="宋体" w:hAnsi="宋体" w:cs="宋体"/>
                <w:kern w:val="0"/>
                <w:szCs w:val="21"/>
              </w:rPr>
            </w:pPr>
            <w:r>
              <w:rPr>
                <w:rFonts w:ascii="宋体" w:hAnsi="宋体" w:cs="宋体"/>
                <w:bCs/>
                <w:kern w:val="0"/>
                <w:szCs w:val="21"/>
              </w:rPr>
              <w:t>1320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433" w:type="dxa"/>
            <w:vMerge w:val="continue"/>
            <w:noWrap/>
            <w:vAlign w:val="center"/>
          </w:tcPr>
          <w:p>
            <w:pPr>
              <w:widowControl/>
              <w:spacing w:line="360" w:lineRule="atLeast"/>
              <w:jc w:val="center"/>
              <w:rPr>
                <w:rFonts w:ascii="宋体" w:hAnsi="宋体" w:cs="宋体"/>
                <w:bCs/>
                <w:kern w:val="0"/>
                <w:szCs w:val="21"/>
              </w:rPr>
            </w:pPr>
          </w:p>
        </w:tc>
        <w:tc>
          <w:tcPr>
            <w:tcW w:w="3355" w:type="dxa"/>
            <w:noWrap/>
            <w:vAlign w:val="center"/>
          </w:tcPr>
          <w:p>
            <w:pPr>
              <w:widowControl/>
              <w:spacing w:line="360" w:lineRule="atLeast"/>
              <w:jc w:val="center"/>
              <w:rPr>
                <w:rFonts w:ascii="宋体" w:hAnsi="宋体" w:cs="宋体"/>
                <w:bCs/>
                <w:kern w:val="0"/>
                <w:szCs w:val="21"/>
              </w:rPr>
            </w:pPr>
            <w:r>
              <w:rPr>
                <w:rFonts w:hint="eastAsia" w:ascii="宋体" w:hAnsi="宋体" w:cs="宋体"/>
                <w:bCs/>
                <w:kern w:val="0"/>
                <w:szCs w:val="21"/>
              </w:rPr>
              <w:t>机械制造及其自动化</w:t>
            </w:r>
          </w:p>
        </w:tc>
        <w:tc>
          <w:tcPr>
            <w:tcW w:w="1122" w:type="dxa"/>
            <w:vMerge w:val="continue"/>
            <w:noWrap/>
            <w:vAlign w:val="center"/>
          </w:tcPr>
          <w:p>
            <w:pPr>
              <w:widowControl/>
              <w:spacing w:line="360" w:lineRule="atLeast"/>
              <w:jc w:val="center"/>
              <w:rPr>
                <w:rFonts w:ascii="宋体" w:hAnsi="宋体" w:cs="宋体"/>
                <w:bCs/>
                <w:kern w:val="0"/>
                <w:szCs w:val="21"/>
              </w:rPr>
            </w:pPr>
          </w:p>
        </w:tc>
        <w:tc>
          <w:tcPr>
            <w:tcW w:w="994" w:type="dxa"/>
            <w:vMerge w:val="continue"/>
            <w:noWrap/>
            <w:vAlign w:val="center"/>
          </w:tcPr>
          <w:p>
            <w:pPr>
              <w:widowControl/>
              <w:spacing w:line="360" w:lineRule="atLeast"/>
              <w:jc w:val="center"/>
              <w:rPr>
                <w:rFonts w:ascii="宋体" w:hAnsi="宋体" w:cs="宋体"/>
                <w:bCs/>
                <w:kern w:val="0"/>
                <w:szCs w:val="21"/>
              </w:rPr>
            </w:pPr>
          </w:p>
        </w:tc>
        <w:tc>
          <w:tcPr>
            <w:tcW w:w="1634" w:type="dxa"/>
            <w:noWrap/>
            <w:vAlign w:val="center"/>
          </w:tcPr>
          <w:p>
            <w:pPr>
              <w:widowControl/>
              <w:spacing w:line="360" w:lineRule="atLeast"/>
              <w:jc w:val="center"/>
              <w:rPr>
                <w:rFonts w:ascii="宋体" w:hAnsi="宋体" w:cs="宋体"/>
                <w:bCs/>
                <w:kern w:val="0"/>
                <w:szCs w:val="21"/>
              </w:rPr>
            </w:pPr>
            <w:r>
              <w:rPr>
                <w:rFonts w:ascii="宋体" w:hAnsi="宋体" w:cs="宋体"/>
                <w:bCs/>
                <w:kern w:val="0"/>
                <w:szCs w:val="21"/>
              </w:rPr>
              <w:t>1320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433" w:type="dxa"/>
            <w:vMerge w:val="continue"/>
            <w:noWrap/>
            <w:vAlign w:val="center"/>
          </w:tcPr>
          <w:p>
            <w:pPr>
              <w:widowControl/>
              <w:spacing w:line="360" w:lineRule="atLeast"/>
              <w:jc w:val="center"/>
              <w:rPr>
                <w:rFonts w:ascii="宋体" w:hAnsi="宋体" w:cs="宋体"/>
                <w:bCs/>
                <w:kern w:val="0"/>
                <w:szCs w:val="21"/>
              </w:rPr>
            </w:pPr>
          </w:p>
        </w:tc>
        <w:tc>
          <w:tcPr>
            <w:tcW w:w="3355" w:type="dxa"/>
            <w:noWrap/>
            <w:vAlign w:val="center"/>
          </w:tcPr>
          <w:p>
            <w:pPr>
              <w:widowControl/>
              <w:spacing w:line="360" w:lineRule="atLeast"/>
              <w:jc w:val="center"/>
              <w:rPr>
                <w:rFonts w:ascii="宋体" w:hAnsi="宋体" w:cs="宋体"/>
                <w:bCs/>
                <w:kern w:val="0"/>
                <w:szCs w:val="21"/>
              </w:rPr>
            </w:pPr>
            <w:r>
              <w:rPr>
                <w:rFonts w:hint="eastAsia" w:ascii="宋体" w:hAnsi="宋体" w:cs="宋体"/>
                <w:bCs/>
                <w:kern w:val="0"/>
                <w:szCs w:val="21"/>
              </w:rPr>
              <w:t>计算机科学与技术</w:t>
            </w:r>
          </w:p>
        </w:tc>
        <w:tc>
          <w:tcPr>
            <w:tcW w:w="1122" w:type="dxa"/>
            <w:vMerge w:val="continue"/>
            <w:noWrap/>
            <w:vAlign w:val="center"/>
          </w:tcPr>
          <w:p>
            <w:pPr>
              <w:widowControl/>
              <w:spacing w:line="360" w:lineRule="atLeast"/>
              <w:jc w:val="center"/>
              <w:rPr>
                <w:rFonts w:ascii="宋体" w:hAnsi="宋体" w:cs="宋体"/>
                <w:bCs/>
                <w:kern w:val="0"/>
                <w:szCs w:val="21"/>
              </w:rPr>
            </w:pPr>
          </w:p>
        </w:tc>
        <w:tc>
          <w:tcPr>
            <w:tcW w:w="994" w:type="dxa"/>
            <w:vMerge w:val="continue"/>
            <w:noWrap/>
            <w:vAlign w:val="center"/>
          </w:tcPr>
          <w:p>
            <w:pPr>
              <w:widowControl/>
              <w:spacing w:line="360" w:lineRule="atLeast"/>
              <w:jc w:val="center"/>
              <w:rPr>
                <w:rFonts w:ascii="宋体" w:hAnsi="宋体" w:cs="宋体"/>
                <w:bCs/>
                <w:kern w:val="0"/>
                <w:szCs w:val="21"/>
              </w:rPr>
            </w:pPr>
          </w:p>
        </w:tc>
        <w:tc>
          <w:tcPr>
            <w:tcW w:w="1634" w:type="dxa"/>
            <w:noWrap/>
            <w:vAlign w:val="center"/>
          </w:tcPr>
          <w:p>
            <w:pPr>
              <w:widowControl/>
              <w:spacing w:line="360" w:lineRule="atLeast"/>
              <w:jc w:val="center"/>
              <w:rPr>
                <w:rFonts w:ascii="宋体" w:hAnsi="宋体" w:cs="宋体"/>
                <w:bCs/>
                <w:kern w:val="0"/>
                <w:szCs w:val="21"/>
              </w:rPr>
            </w:pPr>
            <w:r>
              <w:rPr>
                <w:rFonts w:ascii="宋体" w:hAnsi="宋体" w:cs="宋体"/>
                <w:bCs/>
                <w:kern w:val="0"/>
                <w:szCs w:val="21"/>
              </w:rPr>
              <w:t>1320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433" w:type="dxa"/>
            <w:vMerge w:val="continue"/>
            <w:noWrap/>
            <w:vAlign w:val="center"/>
          </w:tcPr>
          <w:p>
            <w:pPr>
              <w:widowControl/>
              <w:spacing w:line="360" w:lineRule="atLeast"/>
              <w:jc w:val="center"/>
              <w:rPr>
                <w:rFonts w:ascii="宋体" w:hAnsi="宋体" w:cs="宋体"/>
                <w:bCs/>
                <w:kern w:val="0"/>
                <w:szCs w:val="21"/>
              </w:rPr>
            </w:pPr>
          </w:p>
        </w:tc>
        <w:tc>
          <w:tcPr>
            <w:tcW w:w="3355" w:type="dxa"/>
            <w:noWrap/>
            <w:vAlign w:val="center"/>
          </w:tcPr>
          <w:p>
            <w:pPr>
              <w:widowControl/>
              <w:spacing w:line="360" w:lineRule="atLeast"/>
              <w:jc w:val="center"/>
              <w:rPr>
                <w:rFonts w:ascii="宋体" w:hAnsi="宋体" w:cs="宋体"/>
                <w:bCs/>
                <w:kern w:val="0"/>
                <w:szCs w:val="21"/>
              </w:rPr>
            </w:pPr>
            <w:r>
              <w:rPr>
                <w:rFonts w:hint="eastAsia" w:ascii="宋体" w:hAnsi="宋体" w:cs="宋体"/>
                <w:bCs/>
                <w:kern w:val="0"/>
                <w:szCs w:val="21"/>
              </w:rPr>
              <w:t>汽车服务工程</w:t>
            </w:r>
          </w:p>
        </w:tc>
        <w:tc>
          <w:tcPr>
            <w:tcW w:w="1122" w:type="dxa"/>
            <w:vMerge w:val="continue"/>
            <w:noWrap/>
            <w:vAlign w:val="center"/>
          </w:tcPr>
          <w:p>
            <w:pPr>
              <w:widowControl/>
              <w:spacing w:line="360" w:lineRule="atLeast"/>
              <w:jc w:val="center"/>
              <w:rPr>
                <w:rFonts w:ascii="宋体" w:hAnsi="宋体" w:cs="宋体"/>
                <w:bCs/>
                <w:kern w:val="0"/>
                <w:szCs w:val="21"/>
              </w:rPr>
            </w:pPr>
          </w:p>
        </w:tc>
        <w:tc>
          <w:tcPr>
            <w:tcW w:w="994" w:type="dxa"/>
            <w:vMerge w:val="continue"/>
            <w:noWrap/>
            <w:vAlign w:val="center"/>
          </w:tcPr>
          <w:p>
            <w:pPr>
              <w:widowControl/>
              <w:spacing w:line="360" w:lineRule="atLeast"/>
              <w:jc w:val="center"/>
              <w:rPr>
                <w:rFonts w:ascii="宋体" w:hAnsi="宋体" w:cs="宋体"/>
                <w:bCs/>
                <w:kern w:val="0"/>
                <w:szCs w:val="21"/>
              </w:rPr>
            </w:pPr>
          </w:p>
        </w:tc>
        <w:tc>
          <w:tcPr>
            <w:tcW w:w="1634" w:type="dxa"/>
            <w:noWrap/>
            <w:vAlign w:val="center"/>
          </w:tcPr>
          <w:p>
            <w:pPr>
              <w:widowControl/>
              <w:spacing w:line="360" w:lineRule="atLeast"/>
              <w:jc w:val="center"/>
              <w:rPr>
                <w:rFonts w:ascii="宋体" w:hAnsi="宋体" w:cs="宋体"/>
                <w:bCs/>
                <w:kern w:val="0"/>
                <w:szCs w:val="21"/>
              </w:rPr>
            </w:pPr>
            <w:r>
              <w:rPr>
                <w:rFonts w:ascii="宋体" w:hAnsi="宋体" w:cs="宋体"/>
                <w:bCs/>
                <w:kern w:val="0"/>
                <w:szCs w:val="21"/>
              </w:rPr>
              <w:t>1320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433" w:type="dxa"/>
            <w:vMerge w:val="continue"/>
            <w:noWrap/>
            <w:vAlign w:val="center"/>
          </w:tcPr>
          <w:p>
            <w:pPr>
              <w:widowControl/>
              <w:spacing w:line="360" w:lineRule="atLeast"/>
              <w:jc w:val="center"/>
              <w:rPr>
                <w:rFonts w:ascii="宋体" w:hAnsi="宋体" w:cs="宋体"/>
                <w:bCs/>
                <w:kern w:val="0"/>
                <w:szCs w:val="21"/>
              </w:rPr>
            </w:pPr>
          </w:p>
        </w:tc>
        <w:tc>
          <w:tcPr>
            <w:tcW w:w="3355" w:type="dxa"/>
            <w:noWrap/>
            <w:vAlign w:val="center"/>
          </w:tcPr>
          <w:p>
            <w:pPr>
              <w:widowControl/>
              <w:spacing w:line="360" w:lineRule="atLeast"/>
              <w:jc w:val="center"/>
              <w:rPr>
                <w:rFonts w:ascii="宋体" w:hAnsi="宋体" w:cs="宋体"/>
                <w:bCs/>
                <w:kern w:val="0"/>
                <w:szCs w:val="21"/>
              </w:rPr>
            </w:pPr>
            <w:r>
              <w:rPr>
                <w:rFonts w:hint="eastAsia" w:ascii="宋体" w:hAnsi="宋体" w:cs="宋体"/>
                <w:bCs/>
                <w:kern w:val="0"/>
                <w:szCs w:val="21"/>
              </w:rPr>
              <w:t>物联网工程</w:t>
            </w:r>
          </w:p>
        </w:tc>
        <w:tc>
          <w:tcPr>
            <w:tcW w:w="1122" w:type="dxa"/>
            <w:vMerge w:val="continue"/>
            <w:noWrap/>
            <w:vAlign w:val="center"/>
          </w:tcPr>
          <w:p>
            <w:pPr>
              <w:widowControl/>
              <w:spacing w:line="360" w:lineRule="atLeast"/>
              <w:jc w:val="center"/>
              <w:rPr>
                <w:rFonts w:ascii="宋体" w:hAnsi="宋体" w:cs="宋体"/>
                <w:bCs/>
                <w:kern w:val="0"/>
                <w:szCs w:val="21"/>
              </w:rPr>
            </w:pPr>
          </w:p>
        </w:tc>
        <w:tc>
          <w:tcPr>
            <w:tcW w:w="994" w:type="dxa"/>
            <w:vMerge w:val="continue"/>
            <w:noWrap/>
            <w:vAlign w:val="center"/>
          </w:tcPr>
          <w:p>
            <w:pPr>
              <w:widowControl/>
              <w:spacing w:line="360" w:lineRule="atLeast"/>
              <w:jc w:val="center"/>
              <w:rPr>
                <w:rFonts w:ascii="宋体" w:hAnsi="宋体" w:cs="宋体"/>
                <w:bCs/>
                <w:kern w:val="0"/>
                <w:szCs w:val="21"/>
              </w:rPr>
            </w:pPr>
          </w:p>
        </w:tc>
        <w:tc>
          <w:tcPr>
            <w:tcW w:w="1634" w:type="dxa"/>
            <w:noWrap/>
            <w:vAlign w:val="center"/>
          </w:tcPr>
          <w:p>
            <w:pPr>
              <w:widowControl/>
              <w:spacing w:line="360" w:lineRule="atLeast"/>
              <w:jc w:val="center"/>
              <w:rPr>
                <w:rFonts w:ascii="宋体" w:hAnsi="宋体" w:cs="宋体"/>
                <w:bCs/>
                <w:kern w:val="0"/>
                <w:szCs w:val="21"/>
              </w:rPr>
            </w:pPr>
            <w:r>
              <w:rPr>
                <w:rFonts w:ascii="宋体" w:hAnsi="宋体" w:cs="宋体"/>
                <w:bCs/>
                <w:kern w:val="0"/>
                <w:szCs w:val="21"/>
              </w:rPr>
              <w:t>1320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433" w:type="dxa"/>
            <w:vMerge w:val="continue"/>
            <w:noWrap/>
            <w:vAlign w:val="center"/>
          </w:tcPr>
          <w:p>
            <w:pPr>
              <w:widowControl/>
              <w:jc w:val="left"/>
              <w:rPr>
                <w:rFonts w:ascii="宋体" w:hAnsi="宋体" w:cs="宋体"/>
                <w:kern w:val="0"/>
                <w:szCs w:val="21"/>
              </w:rPr>
            </w:pPr>
          </w:p>
        </w:tc>
        <w:tc>
          <w:tcPr>
            <w:tcW w:w="3355" w:type="dxa"/>
            <w:noWrap/>
            <w:vAlign w:val="center"/>
          </w:tcPr>
          <w:p>
            <w:pPr>
              <w:widowControl/>
              <w:spacing w:line="360" w:lineRule="atLeast"/>
              <w:jc w:val="center"/>
              <w:rPr>
                <w:rFonts w:ascii="宋体" w:hAnsi="宋体" w:cs="宋体"/>
                <w:kern w:val="0"/>
                <w:szCs w:val="21"/>
              </w:rPr>
            </w:pPr>
            <w:r>
              <w:rPr>
                <w:rFonts w:ascii="宋体" w:hAnsi="宋体" w:cs="宋体"/>
                <w:bCs/>
                <w:kern w:val="0"/>
                <w:szCs w:val="21"/>
              </w:rPr>
              <w:t>会计学</w:t>
            </w:r>
          </w:p>
        </w:tc>
        <w:tc>
          <w:tcPr>
            <w:tcW w:w="1122" w:type="dxa"/>
            <w:vMerge w:val="continue"/>
            <w:noWrap/>
            <w:vAlign w:val="center"/>
          </w:tcPr>
          <w:p>
            <w:pPr>
              <w:widowControl/>
              <w:jc w:val="left"/>
              <w:rPr>
                <w:rFonts w:ascii="宋体" w:hAnsi="宋体" w:cs="宋体"/>
                <w:kern w:val="0"/>
                <w:szCs w:val="21"/>
              </w:rPr>
            </w:pPr>
          </w:p>
        </w:tc>
        <w:tc>
          <w:tcPr>
            <w:tcW w:w="994" w:type="dxa"/>
            <w:vMerge w:val="continue"/>
            <w:noWrap/>
            <w:vAlign w:val="center"/>
          </w:tcPr>
          <w:p>
            <w:pPr>
              <w:widowControl/>
              <w:jc w:val="left"/>
              <w:rPr>
                <w:rFonts w:ascii="宋体" w:hAnsi="宋体" w:cs="宋体"/>
                <w:kern w:val="0"/>
                <w:szCs w:val="21"/>
              </w:rPr>
            </w:pPr>
          </w:p>
        </w:tc>
        <w:tc>
          <w:tcPr>
            <w:tcW w:w="1634" w:type="dxa"/>
            <w:noWrap/>
            <w:vAlign w:val="center"/>
          </w:tcPr>
          <w:p>
            <w:pPr>
              <w:widowControl/>
              <w:spacing w:line="360" w:lineRule="atLeast"/>
              <w:jc w:val="center"/>
              <w:rPr>
                <w:rFonts w:ascii="宋体" w:hAnsi="宋体" w:cs="宋体"/>
                <w:kern w:val="0"/>
                <w:szCs w:val="21"/>
              </w:rPr>
            </w:pPr>
            <w:r>
              <w:rPr>
                <w:rFonts w:ascii="宋体" w:hAnsi="宋体" w:cs="宋体"/>
                <w:bCs/>
                <w:kern w:val="0"/>
                <w:szCs w:val="21"/>
              </w:rPr>
              <w:t>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433" w:type="dxa"/>
            <w:vMerge w:val="continue"/>
            <w:noWrap/>
            <w:vAlign w:val="center"/>
          </w:tcPr>
          <w:p>
            <w:pPr>
              <w:widowControl/>
              <w:jc w:val="left"/>
              <w:rPr>
                <w:rFonts w:ascii="宋体" w:hAnsi="宋体" w:cs="宋体"/>
                <w:kern w:val="0"/>
                <w:szCs w:val="21"/>
              </w:rPr>
            </w:pPr>
          </w:p>
        </w:tc>
        <w:tc>
          <w:tcPr>
            <w:tcW w:w="3355" w:type="dxa"/>
            <w:noWrap/>
            <w:vAlign w:val="center"/>
          </w:tcPr>
          <w:p>
            <w:pPr>
              <w:widowControl/>
              <w:spacing w:line="360" w:lineRule="atLeast"/>
              <w:jc w:val="center"/>
              <w:rPr>
                <w:rFonts w:ascii="宋体" w:hAnsi="宋体" w:cs="宋体"/>
                <w:kern w:val="0"/>
                <w:szCs w:val="21"/>
              </w:rPr>
            </w:pPr>
            <w:r>
              <w:rPr>
                <w:rFonts w:ascii="宋体" w:hAnsi="宋体" w:cs="宋体"/>
                <w:bCs/>
                <w:kern w:val="0"/>
                <w:szCs w:val="21"/>
              </w:rPr>
              <w:t>财务管理</w:t>
            </w:r>
          </w:p>
        </w:tc>
        <w:tc>
          <w:tcPr>
            <w:tcW w:w="1122" w:type="dxa"/>
            <w:vMerge w:val="continue"/>
            <w:noWrap/>
            <w:vAlign w:val="center"/>
          </w:tcPr>
          <w:p>
            <w:pPr>
              <w:widowControl/>
              <w:jc w:val="left"/>
              <w:rPr>
                <w:rFonts w:ascii="宋体" w:hAnsi="宋体" w:cs="宋体"/>
                <w:kern w:val="0"/>
                <w:szCs w:val="21"/>
              </w:rPr>
            </w:pPr>
          </w:p>
        </w:tc>
        <w:tc>
          <w:tcPr>
            <w:tcW w:w="994" w:type="dxa"/>
            <w:vMerge w:val="continue"/>
            <w:noWrap/>
            <w:vAlign w:val="center"/>
          </w:tcPr>
          <w:p>
            <w:pPr>
              <w:widowControl/>
              <w:jc w:val="left"/>
              <w:rPr>
                <w:rFonts w:ascii="宋体" w:hAnsi="宋体" w:cs="宋体"/>
                <w:kern w:val="0"/>
                <w:szCs w:val="21"/>
              </w:rPr>
            </w:pPr>
          </w:p>
        </w:tc>
        <w:tc>
          <w:tcPr>
            <w:tcW w:w="1634" w:type="dxa"/>
            <w:noWrap/>
            <w:vAlign w:val="center"/>
          </w:tcPr>
          <w:p>
            <w:pPr>
              <w:widowControl/>
              <w:spacing w:line="360" w:lineRule="atLeast"/>
              <w:jc w:val="center"/>
              <w:rPr>
                <w:rFonts w:ascii="宋体" w:hAnsi="宋体" w:cs="宋体"/>
                <w:kern w:val="0"/>
                <w:szCs w:val="21"/>
              </w:rPr>
            </w:pPr>
            <w:r>
              <w:rPr>
                <w:rFonts w:hint="eastAsia" w:ascii="宋体" w:hAnsi="宋体" w:cs="宋体"/>
                <w:kern w:val="0"/>
                <w:szCs w:val="21"/>
              </w:rPr>
              <w:t>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433" w:type="dxa"/>
            <w:vMerge w:val="continue"/>
            <w:noWrap/>
            <w:vAlign w:val="center"/>
          </w:tcPr>
          <w:p>
            <w:pPr>
              <w:widowControl/>
              <w:jc w:val="left"/>
              <w:rPr>
                <w:rFonts w:ascii="宋体" w:hAnsi="宋体" w:cs="宋体"/>
                <w:kern w:val="0"/>
                <w:szCs w:val="21"/>
              </w:rPr>
            </w:pPr>
          </w:p>
        </w:tc>
        <w:tc>
          <w:tcPr>
            <w:tcW w:w="3355" w:type="dxa"/>
            <w:noWrap/>
            <w:vAlign w:val="center"/>
          </w:tcPr>
          <w:p>
            <w:pPr>
              <w:widowControl/>
              <w:spacing w:line="360" w:lineRule="atLeast"/>
              <w:jc w:val="center"/>
              <w:rPr>
                <w:rFonts w:ascii="宋体" w:hAnsi="宋体" w:cs="宋体"/>
                <w:kern w:val="0"/>
                <w:szCs w:val="21"/>
              </w:rPr>
            </w:pPr>
            <w:r>
              <w:rPr>
                <w:rFonts w:ascii="宋体" w:hAnsi="宋体" w:cs="宋体"/>
                <w:bCs/>
                <w:kern w:val="0"/>
                <w:szCs w:val="21"/>
              </w:rPr>
              <w:t>汉语言文学</w:t>
            </w:r>
          </w:p>
        </w:tc>
        <w:tc>
          <w:tcPr>
            <w:tcW w:w="1122" w:type="dxa"/>
            <w:noWrap/>
            <w:vAlign w:val="center"/>
          </w:tcPr>
          <w:p>
            <w:pPr>
              <w:spacing w:line="360" w:lineRule="atLeast"/>
              <w:jc w:val="center"/>
              <w:rPr>
                <w:rFonts w:ascii="宋体" w:hAnsi="宋体" w:cs="宋体"/>
                <w:kern w:val="0"/>
                <w:szCs w:val="21"/>
              </w:rPr>
            </w:pPr>
            <w:r>
              <w:rPr>
                <w:rFonts w:ascii="宋体" w:hAnsi="宋体" w:cs="宋体"/>
                <w:bCs/>
                <w:kern w:val="0"/>
                <w:szCs w:val="21"/>
              </w:rPr>
              <w:t>2.5年</w:t>
            </w:r>
          </w:p>
        </w:tc>
        <w:tc>
          <w:tcPr>
            <w:tcW w:w="994" w:type="dxa"/>
            <w:noWrap/>
            <w:vAlign w:val="center"/>
          </w:tcPr>
          <w:p>
            <w:pPr>
              <w:spacing w:line="360" w:lineRule="atLeast"/>
              <w:jc w:val="center"/>
              <w:rPr>
                <w:rFonts w:ascii="宋体" w:hAnsi="宋体" w:cs="宋体"/>
                <w:kern w:val="0"/>
                <w:szCs w:val="21"/>
              </w:rPr>
            </w:pPr>
            <w:r>
              <w:rPr>
                <w:rFonts w:ascii="宋体" w:hAnsi="宋体" w:cs="宋体"/>
                <w:bCs/>
                <w:kern w:val="0"/>
                <w:szCs w:val="21"/>
              </w:rPr>
              <w:t>业余</w:t>
            </w:r>
          </w:p>
        </w:tc>
        <w:tc>
          <w:tcPr>
            <w:tcW w:w="1634" w:type="dxa"/>
            <w:noWrap/>
            <w:vAlign w:val="center"/>
          </w:tcPr>
          <w:p>
            <w:pPr>
              <w:widowControl/>
              <w:spacing w:line="360" w:lineRule="atLeast"/>
              <w:jc w:val="center"/>
              <w:rPr>
                <w:rFonts w:ascii="宋体" w:hAnsi="宋体" w:cs="宋体"/>
                <w:kern w:val="0"/>
                <w:szCs w:val="21"/>
              </w:rPr>
            </w:pPr>
            <w:r>
              <w:rPr>
                <w:rFonts w:ascii="宋体" w:hAnsi="宋体" w:cs="宋体"/>
                <w:bCs/>
                <w:kern w:val="0"/>
                <w:szCs w:val="21"/>
              </w:rPr>
              <w:t>1320</w:t>
            </w:r>
          </w:p>
        </w:tc>
      </w:tr>
    </w:tbl>
    <w:p/>
    <w:sectPr>
      <w:pgSz w:w="11906" w:h="16838"/>
      <w:pgMar w:top="779" w:right="1106" w:bottom="1091"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楷体">
    <w:altName w:val="楷体_GB2312"/>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7FA35DD9"/>
    <w:rsid w:val="002F024A"/>
    <w:rsid w:val="007016D3"/>
    <w:rsid w:val="009A0DA1"/>
    <w:rsid w:val="009F2B16"/>
    <w:rsid w:val="00A21714"/>
    <w:rsid w:val="00D47F6E"/>
    <w:rsid w:val="09F03A9C"/>
    <w:rsid w:val="0EF53FF6"/>
    <w:rsid w:val="123A4E5B"/>
    <w:rsid w:val="16B95D95"/>
    <w:rsid w:val="1DD009B1"/>
    <w:rsid w:val="21704176"/>
    <w:rsid w:val="331532DA"/>
    <w:rsid w:val="53460C1A"/>
    <w:rsid w:val="56655994"/>
    <w:rsid w:val="5DE8007C"/>
    <w:rsid w:val="6056424D"/>
    <w:rsid w:val="6B6E41C4"/>
    <w:rsid w:val="71B239B4"/>
    <w:rsid w:val="7A027C54"/>
    <w:rsid w:val="7FA35D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6">
    <w:name w:val="Table Theme"/>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qFormat/>
    <w:uiPriority w:val="0"/>
    <w:rPr>
      <w:color w:val="0000FF"/>
      <w:u w:val="single"/>
    </w:rPr>
  </w:style>
  <w:style w:type="character" w:customStyle="1" w:styleId="9">
    <w:name w:val="页眉 Char"/>
    <w:basedOn w:val="7"/>
    <w:link w:val="4"/>
    <w:qFormat/>
    <w:uiPriority w:val="0"/>
    <w:rPr>
      <w:kern w:val="2"/>
      <w:sz w:val="18"/>
      <w:szCs w:val="18"/>
    </w:rPr>
  </w:style>
  <w:style w:type="character" w:customStyle="1" w:styleId="10">
    <w:name w:val="页脚 Char"/>
    <w:basedOn w:val="7"/>
    <w:link w:val="3"/>
    <w:qFormat/>
    <w:uiPriority w:val="0"/>
    <w:rPr>
      <w:kern w:val="2"/>
      <w:sz w:val="18"/>
      <w:szCs w:val="18"/>
    </w:rPr>
  </w:style>
  <w:style w:type="character" w:customStyle="1" w:styleId="11">
    <w:name w:val="批注框文本 Char"/>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2</Pages>
  <Words>211</Words>
  <Characters>1205</Characters>
  <Lines>10</Lines>
  <Paragraphs>2</Paragraphs>
  <TotalTime>997</TotalTime>
  <ScaleCrop>false</ScaleCrop>
  <LinksUpToDate>false</LinksUpToDate>
  <CharactersWithSpaces>1414</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2019-12-09T02:26:00Z</dcterms:created>
  <dc:creator>Administrator</dc:creator>
  <cp:lastModifiedBy>Administrator</cp:lastModifiedBy>
  <cp:lastPrinted>2019-12-20T02:23:30Z</cp:lastPrinted>
  <dcterms:modified xsi:type="dcterms:W3CDTF">2019-12-20T02:33:21Z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